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成都工贸职业技术学院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土木水利类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2021年单招考试大纲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480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一、考试性质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本考试是中等职业学校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土木水利</w:t>
      </w:r>
      <w:r>
        <w:rPr>
          <w:rFonts w:hint="eastAsia" w:ascii="仿宋" w:hAnsi="仿宋" w:eastAsia="仿宋" w:cs="仿宋"/>
          <w:sz w:val="30"/>
          <w:szCs w:val="30"/>
        </w:rPr>
        <w:t>大类学生报考我校单独招生的选拔性考试。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480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二、考试依据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1、《中等职业学校土木水利类专业教学标准(试行)》，教职成厅函【2014】11号。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2、国家职业标准:工程测量员(职业编码：6-01-02-04，劳社厅发【2006】23号）。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480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三、考试科目与考试方法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该考试由专业知识（应知）应用和技能操作（应会）两部分组成，考试总分为200分。其中专业知识（应知）部分为80分，考试时间为60分钟，技能操作（应会）为120分，考试时间为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sz w:val="30"/>
          <w:szCs w:val="30"/>
        </w:rPr>
        <w:t>分钟。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四、考试内容和要求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第一部分  专业知识（应知）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（一）考试范围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：工程测量技术部分占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40分，铁道工程技术部分占24分，铁路桥梁与隧道工程技术占8分，工程机械运用技术占8分。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-SA"/>
        </w:rPr>
        <w:t>1. 工程测量技术部分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1.1 概论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（1）了解施工测量的任务、内容和作用；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（2）理解水准面、水平面、大地水准面、绝对高程和相对高程等概念，了解我国绝对高程基准面的确定；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outlineLvl w:val="0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（3）掌握测量工作的基本原则与程序，了解测量工作的基本要求；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outlineLvl w:val="0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1.2 水准测量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（1）掌握水准测量的原理，熟练掌握高差法和视线高法测高差；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（2）熟练掌握水准仪的构造及其各部件的作用，掌握水准尺的种类与读数方法，了解尺垫的作用；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outlineLvl w:val="0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（3）熟练掌握自动安平水准仪的使用步骤及其注意事项；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（4）理解水准点的作用，了解水准路线的三种形式；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（5）熟练掌握两种测站检核方法（双仪高法和双面尺法）；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（6）熟练掌握闭合水准测量路线的施测方法、记录和内业计算；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（7）了解水准测量误差产生的因素。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1.3 角度测量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（1）掌握水平角的含义及测量原理；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（2）熟练掌握经纬仪的使用步骤和测回法观测水平角方法；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outlineLvl w:val="0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（3）掌握竖直角的含义，了解竖直角的观测方法；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（4）了解角度测量误差的影响因素，了解角度测量中的注意事项。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outlineLvl w:val="0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1.4 距离丈量与直线定向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（1）了解钢尺与皮尺的种类，了解丈量的辅助工具，掌握直线定线的方法；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（2）掌握平坦地面的距离丈量的一般方法及精度计算，了解倾斜地面水平距离丈量的一般方法；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（3）掌握坐标方位角及象限角的定义；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（4）掌握正、反坐标方位角的关系；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（5）掌握坐标方位角的推算方法。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1.5 地形图及其使用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（1）了解地形图的含义及其作用；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（2）理解比例尺的含义，了解比例尺的形式、分类和精度，掌握比例尺精度的应用；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outlineLvl w:val="0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（3）了解图廓、图名、图号和接图表的含义；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（4）掌握常见地形符号，掌握等高线、等高距和等高线平距等概念，了解典型地貌的等高线表示方法，掌握等高线的特性；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（5）熟练识读、应用地形图。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outlineLvl w:val="0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1.6 施工测量的基本工作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（1）掌握已知水平角、已知水平距离测设方法，熟练掌握高程测设方法；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（2）掌握直角坐标法、极坐标法测设点的平面位置的原理和方法，了解角度交会法、距离交会法测设点的平面位置的方法。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-SA"/>
        </w:rPr>
        <w:t>2. 铁道工程技术部分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outlineLvl w:val="0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2.1工程材料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（1）理解土木工程材料的基本知识及基本性质；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（2）了解水泥的基础知识、主要技术性质；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（3）了解混凝土的组成材料及主要材料的技术要求；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（4）了解砂浆的组成材料、技术性质及要求； 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（5）了解土木工程材料在行业中的地位和发展概况。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outlineLvl w:val="0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2.2工程制图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（1）理解三面投影的基本知识；</w:t>
      </w:r>
    </w:p>
    <w:p>
      <w:pPr>
        <w:spacing w:line="360" w:lineRule="auto"/>
        <w:ind w:firstLine="750" w:firstLineChars="25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（2）理解点、线、面投影的基本知识；</w:t>
      </w:r>
    </w:p>
    <w:p>
      <w:pPr>
        <w:spacing w:line="360" w:lineRule="auto"/>
        <w:ind w:firstLine="750" w:firstLineChars="25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（3）了解基本体与组合体的基本知识。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outlineLvl w:val="0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2.3铁路基本知识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kern w:val="0"/>
          <w:sz w:val="30"/>
          <w:szCs w:val="30"/>
        </w:rPr>
        <w:t>了解铁路的基本构成及发展史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62" w:firstLineChars="200"/>
        <w:textAlignment w:val="auto"/>
        <w:rPr>
          <w:rFonts w:hint="default" w:ascii="仿宋" w:hAnsi="仿宋" w:eastAsia="仿宋" w:cs="仿宋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-SA"/>
        </w:rPr>
        <w:t>3. 铁路桥梁与隧道工程技术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3.1 桥梁概述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（1）掌握桥梁的组成部分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（2）掌握桥梁的类型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（3）掌握桥梁技术术语及其含义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3.2.桥梁施工准备工作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（1）准备工作的内容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（2）核心准备工作及设计技术交底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（4）“四通一平”的内容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3.3隧道概述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（1）隧道的结构组成及分类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（2）隧道的特点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3.4围岩划分及隧道附属结构施工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（1）围岩的概念、划分等级及意义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（2）隧道附属结构组成部分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（3）大小避车洞作用及防排水原则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-SA"/>
        </w:rPr>
        <w:t>4. 工程机械运用技术部分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4.1.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绪论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（1）掌握机器的四大组成部分；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（2）掌握按照用途分类机械的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类型</w:t>
      </w: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（3）掌握零件、构件、机构、机器和机械的基本概念；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4.2.常用机构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（1）熟悉铰链四杆机构的基本类型、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运动</w:t>
      </w: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特点和应用；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（2）掌握平面四杆机构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的</w:t>
      </w: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死点和急回特性的应用；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（3）掌握凸轮机构的组成和类型；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4.3.机械传动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（1）掌握带传动的类型和特点；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（2）了解V带传动的安装和张紧；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（3）掌握齿轮传动的特点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和</w:t>
      </w: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分类；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（4）熟悉渐开线齿轮各部分名称及基本尺寸计算。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（5）掌握齿轮系的分类。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4.4轴系零部件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（1）掌握轴的分类；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30"/>
          <w:szCs w:val="30"/>
          <w:lang w:val="en-US" w:eastAsia="zh-CN" w:bidi="ar-SA"/>
        </w:rPr>
        <w:t>（2）掌握轴承的分类和滚动轴承的代号；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（二）参考教材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48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肖利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王海生</w:t>
      </w:r>
      <w:r>
        <w:rPr>
          <w:rFonts w:hint="eastAsia" w:ascii="仿宋" w:hAnsi="仿宋" w:eastAsia="仿宋" w:cs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铁路工程测量</w:t>
      </w:r>
      <w:r>
        <w:rPr>
          <w:rFonts w:hint="eastAsia" w:ascii="仿宋" w:hAnsi="仿宋" w:eastAsia="仿宋" w:cs="仿宋"/>
          <w:sz w:val="30"/>
          <w:szCs w:val="30"/>
        </w:rPr>
        <w:t>》第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版，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西南交通大学</w:t>
      </w:r>
      <w:r>
        <w:rPr>
          <w:rFonts w:hint="eastAsia" w:ascii="仿宋" w:hAnsi="仿宋" w:eastAsia="仿宋" w:cs="仿宋"/>
          <w:sz w:val="30"/>
          <w:szCs w:val="30"/>
        </w:rPr>
        <w:t>出版社，2014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8月；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48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刘金凤《桥涵施工技术》人民交通出版社，2017年9月；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z w:val="30"/>
          <w:szCs w:val="30"/>
        </w:rPr>
        <w:t>陆叔华《建筑制图与识图》第二版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z w:val="30"/>
          <w:szCs w:val="30"/>
        </w:rPr>
        <w:t>高等教育出版社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z w:val="30"/>
          <w:szCs w:val="30"/>
        </w:rPr>
        <w:t>2007年5月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刘强  《土木工程材料》  人民交通出版社   2011年8月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48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蒋丹 蒋汉章《机械基础》（图解全彩版）人民交通出版社，2012年8月。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第二部分 技能操作（应会）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（一）考试要求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1.熟悉水准测量操作流程；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2.能规范操作水准仪；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3.能正确观测、记录和计算；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4.能进行两次仪高法测站检核；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5.会对测量结果进行处理。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480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  <w:t>（二）考试范围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48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根据给定的已知点高程，采用双仪高法水准测量方法，求出待测点高程。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（三）考试设备及工具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1.考生所在报考学校准备自动安平光学水准仪（DS3及以上）和脚架；考生自带签字笔、铅笔、小刀。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2.考场提供1对2m木制红黑双面水准尺、记录板和记录表格，提供备用水准仪和脚架。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90" w:firstLineChars="196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  <w:t>（四）考试时间与组织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1.考试时间：总共20分钟，其中进场检录、准备5分钟，退场5分钟。正式考试时间10分钟，超过10分钟即终止考试。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2.考试组织：采用现场实际操作形式，考生独立完成所有考核内容。考试时，水准尺由专用装置固定。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90" w:firstLineChars="196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  <w:t>（五）评分项目及总体要求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本项目满分120分。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1.仪器操作及观测过程（50分）：主要考核仪器操作及观测过程中的规范性。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2.记录、计算与成果精度（60分）：主要考核记录的工整、规范性，计算的准确性，以及成果精度。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3.考核时间（10分）：在规定的时间内，根据完成时间快慢，分段按梯度计成绩。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4.因超时终止考试的考生，按实际完成内容计成绩。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90" w:firstLineChars="196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90" w:firstLineChars="196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90" w:firstLineChars="196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90" w:firstLineChars="196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  <w:t>（六）考核技术要求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840"/>
        <w:gridCol w:w="6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一级指标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二级指标 </w:t>
            </w:r>
          </w:p>
        </w:tc>
        <w:tc>
          <w:tcPr>
            <w:tcW w:w="6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技术要求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仪器操作及观测过程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安置脚架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架设脚架时不能脚踢脚架；脚架高低与考生身高要协调；脚架张开角度安全、美观。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取仪器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双手取出仪器。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仪器连接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仪器上架不得松手，直至拧紧连接螺旋后手才能松开。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仪器盖箱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仪器与三脚架连接好后，仪器箱盖好。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仪器整平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水准气泡完全在标准圆圈内；整平后，水准仪基座不能明显偏离三脚架架头中心。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粗瞄目标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正确进行目标粗瞄。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调焦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按照“先目镜调焦,后物镜调焦”；消除视差。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精确照准目标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十字丝竖丝照准水准尺正中间。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读数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能正确读数。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观测顺序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按照“后-前-前-后”顺序观测。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仪器高度变换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仪器高度改变必须超过10.0cm(含)。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规范操作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观测过程中，不能出现骑马式观测、脚架碰动、手扶脚架、重复整平仪器等。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仪器装箱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卸仪器前，先打开仪器箱；卸仪器时应采取保护措施；仪器装箱后，关箱、上扣。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收脚架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将脚架收拢，松开各个螺旋，将伸长的脚架还原，再拧紧各螺旋，扣好带子。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其它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不能坐仪器箱。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记录、计算与成果精度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数据记录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使用铅笔记录；记录工整、规范，划改规范，不能使用橡皮擦，不能出现涂改、就字改字、刀片刮痕等。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记录规范性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13分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后视读数、前视读数、高差、高差较差以及平均高差记录、计算的占位“0”不能缺失；高差、高差较差、平均高差，应标注“±”号。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数据计算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高差、高差较差、平均高差、高程计算正确；平均高差计算取整方法正确。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高差互差精度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12分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高差互差</w:t>
            </w:r>
            <w:r>
              <w:rPr>
                <w:rFonts w:hint="eastAsia" w:asciiTheme="minorEastAsia" w:hAnsiTheme="minorEastAsia" w:eastAsiaTheme="minorEastAsia" w:cstheme="minorEastAsia"/>
                <w:iCs/>
                <w:color w:val="auto"/>
                <w:sz w:val="24"/>
                <w:szCs w:val="24"/>
                <w:lang w:eastAsia="zh-CN"/>
              </w:rPr>
              <w:t>不能超过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6 mm(含)。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其它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12分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不能在记录纸上做草稿演算。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（正式考试时间）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T≤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分钟，时间得分为满分；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分钟&lt;T≤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分钟，按梯度计时间得分；T&gt;1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分钟, 考试终止，时间得分为0分。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注：如果考生为了获得时间分, 恶意赶时间，不顾操作的规范性或者精度严重超标、伪造数据，考评员有权判定时间分为0分。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shd w:val="clear" w:color="auto" w:fill="FFFFFF"/>
          <w:lang w:eastAsia="zh-CN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80" w:firstLineChars="200"/>
        <w:textAlignment w:val="auto"/>
        <w:rPr>
          <w:rFonts w:eastAsia="仿宋"/>
          <w:sz w:val="24"/>
          <w:szCs w:val="24"/>
          <w:shd w:val="clear" w:color="auto" w:fill="FFFFFF"/>
          <w:lang w:eastAsia="zh-CN"/>
        </w:rPr>
      </w:pPr>
      <w:r>
        <w:rPr>
          <w:rFonts w:eastAsia="仿宋"/>
          <w:sz w:val="24"/>
          <w:szCs w:val="24"/>
          <w:shd w:val="clear" w:color="auto" w:fill="FFFFFF"/>
          <w:lang w:eastAsia="zh-CN"/>
        </w:rPr>
        <w:t>附件：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40"/>
        <w:textAlignment w:val="auto"/>
        <w:rPr>
          <w:rFonts w:eastAsia="仿宋"/>
          <w:sz w:val="24"/>
          <w:szCs w:val="24"/>
          <w:lang w:eastAsia="zh-CN"/>
        </w:rPr>
      </w:pPr>
      <w:r>
        <w:rPr>
          <w:rFonts w:eastAsia="仿宋"/>
          <w:sz w:val="24"/>
          <w:szCs w:val="24"/>
          <w:shd w:val="clear" w:color="auto" w:fill="FFFFFF"/>
          <w:lang w:eastAsia="zh-CN"/>
        </w:rPr>
        <w:t>（1）</w:t>
      </w:r>
      <w:r>
        <w:rPr>
          <w:rFonts w:eastAsia="仿宋"/>
          <w:sz w:val="24"/>
          <w:szCs w:val="24"/>
          <w:lang w:eastAsia="zh-CN"/>
        </w:rPr>
        <w:t>记录表模版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39"/>
        <w:jc w:val="center"/>
        <w:textAlignment w:val="auto"/>
        <w:rPr>
          <w:rFonts w:eastAsia="仿宋"/>
          <w:sz w:val="24"/>
          <w:szCs w:val="24"/>
          <w:lang w:eastAsia="zh-CN"/>
        </w:rPr>
      </w:pPr>
      <w:r>
        <w:rPr>
          <w:rFonts w:eastAsia="仿宋"/>
          <w:sz w:val="24"/>
          <w:szCs w:val="24"/>
          <w:lang w:eastAsia="zh-CN"/>
        </w:rPr>
        <w:t xml:space="preserve">     水准测量                  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69"/>
        <w:gridCol w:w="1502"/>
        <w:gridCol w:w="1500"/>
        <w:gridCol w:w="1037"/>
        <w:gridCol w:w="1467"/>
        <w:gridCol w:w="1034"/>
        <w:gridCol w:w="993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eastAsia="zh-CN"/>
              </w:rPr>
              <w:t>观测次数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测点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后视读数(m)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前视读数(m)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高差(m)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  <w:lang w:eastAsia="zh-CN"/>
              </w:rPr>
            </w:pPr>
            <w:r>
              <w:rPr>
                <w:rFonts w:eastAsia="仿宋"/>
                <w:sz w:val="24"/>
                <w:szCs w:val="24"/>
                <w:lang w:eastAsia="zh-CN"/>
              </w:rPr>
              <w:t>高差较差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  <w:lang w:eastAsia="zh-CN"/>
              </w:rPr>
            </w:pPr>
            <w:r>
              <w:rPr>
                <w:rFonts w:eastAsia="仿宋"/>
                <w:sz w:val="24"/>
                <w:szCs w:val="24"/>
                <w:lang w:eastAsia="zh-CN"/>
              </w:rPr>
              <w:t>(mm,第1次-第2次)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平均高差(m)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高程(m)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77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已知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H</w:t>
            </w:r>
            <w:r>
              <w:rPr>
                <w:rFonts w:eastAsia="仿宋"/>
                <w:sz w:val="24"/>
                <w:szCs w:val="24"/>
                <w:vertAlign w:val="subscript"/>
              </w:rPr>
              <w:t>A</w:t>
            </w:r>
            <w:r>
              <w:rPr>
                <w:rFonts w:eastAsia="仿宋"/>
                <w:sz w:val="24"/>
                <w:szCs w:val="24"/>
              </w:rPr>
              <w:t>=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77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待求点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H</w:t>
            </w:r>
            <w:r>
              <w:rPr>
                <w:rFonts w:eastAsia="仿宋"/>
                <w:sz w:val="24"/>
                <w:szCs w:val="24"/>
                <w:vertAlign w:val="subscript"/>
              </w:rPr>
              <w:t>B</w:t>
            </w:r>
            <w:r>
              <w:rPr>
                <w:rFonts w:eastAsia="仿宋"/>
                <w:sz w:val="24"/>
                <w:szCs w:val="24"/>
              </w:rPr>
              <w:t>=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7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both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80" w:firstLineChars="200"/>
        <w:jc w:val="center"/>
        <w:textAlignment w:val="auto"/>
        <w:rPr>
          <w:rFonts w:eastAsia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eastAsia="仿宋"/>
          <w:sz w:val="24"/>
          <w:szCs w:val="24"/>
          <w:lang w:eastAsia="zh-CN"/>
        </w:rPr>
      </w:pPr>
      <w:r>
        <w:rPr>
          <w:rFonts w:eastAsia="仿宋"/>
          <w:sz w:val="24"/>
          <w:szCs w:val="24"/>
          <w:lang w:eastAsia="zh-CN"/>
        </w:rPr>
        <w:t>注：以下工作在</w:t>
      </w:r>
      <w:r>
        <w:rPr>
          <w:rFonts w:hint="eastAsia" w:eastAsia="仿宋"/>
          <w:sz w:val="24"/>
          <w:szCs w:val="24"/>
          <w:lang w:eastAsia="zh-CN"/>
        </w:rPr>
        <w:t>考生</w:t>
      </w:r>
      <w:r>
        <w:rPr>
          <w:rFonts w:eastAsia="仿宋"/>
          <w:sz w:val="24"/>
          <w:szCs w:val="24"/>
          <w:lang w:eastAsia="zh-CN"/>
        </w:rPr>
        <w:t>考试结束后，由</w:t>
      </w:r>
      <w:r>
        <w:rPr>
          <w:rFonts w:hint="eastAsia" w:eastAsia="仿宋"/>
          <w:sz w:val="24"/>
          <w:szCs w:val="24"/>
          <w:lang w:eastAsia="zh-CN"/>
        </w:rPr>
        <w:t>考评员</w:t>
      </w:r>
      <w:r>
        <w:rPr>
          <w:rFonts w:eastAsia="仿宋"/>
          <w:sz w:val="24"/>
          <w:szCs w:val="24"/>
          <w:lang w:eastAsia="zh-CN"/>
        </w:rPr>
        <w:t>计算完成。考生填写无效并将作扣分处理。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80" w:firstLineChars="200"/>
        <w:jc w:val="center"/>
        <w:textAlignment w:val="auto"/>
        <w:rPr>
          <w:rFonts w:eastAsia="仿宋"/>
          <w:sz w:val="24"/>
          <w:szCs w:val="24"/>
          <w:lang w:eastAsia="zh-CN"/>
        </w:rPr>
      </w:pPr>
      <w:r>
        <w:rPr>
          <w:rFonts w:eastAsia="仿宋"/>
          <w:sz w:val="24"/>
          <w:szCs w:val="24"/>
        </w:rPr>
        <w:t>Δ</w:t>
      </w:r>
      <w:r>
        <w:rPr>
          <w:rFonts w:eastAsia="仿宋"/>
          <w:sz w:val="24"/>
          <w:szCs w:val="24"/>
          <w:lang w:eastAsia="zh-CN"/>
        </w:rPr>
        <w:t>=</w:t>
      </w:r>
      <w:r>
        <w:rPr>
          <w:rFonts w:eastAsia="仿宋"/>
          <w:sz w:val="24"/>
          <w:szCs w:val="24"/>
          <w:u w:val="single"/>
          <w:lang w:eastAsia="zh-CN"/>
        </w:rPr>
        <w:t xml:space="preserve">          </w:t>
      </w:r>
      <w:r>
        <w:rPr>
          <w:rFonts w:eastAsia="仿宋"/>
          <w:sz w:val="24"/>
          <w:szCs w:val="24"/>
          <w:lang w:eastAsia="zh-CN"/>
        </w:rPr>
        <w:t>mm；</w:t>
      </w:r>
      <w:r>
        <w:rPr>
          <w:rFonts w:eastAsia="仿宋"/>
          <w:sz w:val="24"/>
          <w:szCs w:val="24"/>
        </w:rPr>
        <w:t>Δ</w:t>
      </w:r>
      <w:r>
        <w:rPr>
          <w:rFonts w:eastAsia="仿宋"/>
          <w:sz w:val="24"/>
          <w:szCs w:val="24"/>
          <w:lang w:eastAsia="zh-CN"/>
        </w:rPr>
        <w:t>=第2次前视读数-第1次前视读数。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39"/>
        <w:textAlignment w:val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（2）记录样表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39"/>
        <w:jc w:val="center"/>
        <w:textAlignment w:val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水准测量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548"/>
        <w:gridCol w:w="1021"/>
        <w:gridCol w:w="1021"/>
        <w:gridCol w:w="926"/>
        <w:gridCol w:w="1311"/>
        <w:gridCol w:w="974"/>
        <w:gridCol w:w="1752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eastAsia="zh-CN"/>
              </w:rPr>
              <w:t>观测次数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测点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后视读数(m)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前视读数(m)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高差(m)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  <w:lang w:eastAsia="zh-CN"/>
              </w:rPr>
            </w:pPr>
            <w:r>
              <w:rPr>
                <w:rFonts w:eastAsia="仿宋"/>
                <w:sz w:val="24"/>
                <w:szCs w:val="24"/>
                <w:lang w:eastAsia="zh-CN"/>
              </w:rPr>
              <w:t>高差较差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  <w:lang w:eastAsia="zh-CN"/>
              </w:rPr>
            </w:pPr>
            <w:r>
              <w:rPr>
                <w:rFonts w:eastAsia="仿宋"/>
                <w:sz w:val="24"/>
                <w:szCs w:val="24"/>
                <w:lang w:eastAsia="zh-CN"/>
              </w:rPr>
              <w:t>(mm,第1次-第2次)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平均高差(m)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高程(m)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5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A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1.448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+0.090</w:t>
            </w:r>
          </w:p>
        </w:tc>
        <w:tc>
          <w:tcPr>
            <w:tcW w:w="13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-1</w:t>
            </w: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+0.090</w:t>
            </w: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已知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H</w:t>
            </w:r>
            <w:r>
              <w:rPr>
                <w:rFonts w:eastAsia="仿宋"/>
                <w:sz w:val="24"/>
                <w:szCs w:val="24"/>
                <w:vertAlign w:val="subscript"/>
              </w:rPr>
              <w:t>A</w:t>
            </w:r>
            <w:r>
              <w:rPr>
                <w:rFonts w:eastAsia="仿宋"/>
                <w:sz w:val="24"/>
                <w:szCs w:val="24"/>
              </w:rPr>
              <w:t>=500.000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（有划改,需在此注明原因）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B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1.358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5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A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eastAsia="zh-CN"/>
              </w:rPr>
              <w:t>1</w:t>
            </w:r>
            <w:r>
              <w:rPr>
                <w:rFonts w:eastAsia="仿宋"/>
                <w:sz w:val="24"/>
                <w:szCs w:val="24"/>
              </w:rPr>
              <w:t>.</w:t>
            </w:r>
            <w:r>
              <w:rPr>
                <w:rFonts w:eastAsia="仿宋"/>
                <w:sz w:val="24"/>
                <w:szCs w:val="24"/>
                <w:lang w:eastAsia="zh-CN"/>
              </w:rPr>
              <w:t>335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+0.</w:t>
            </w:r>
            <w:r>
              <w:rPr>
                <w:rFonts w:eastAsia="仿宋"/>
                <w:sz w:val="24"/>
                <w:szCs w:val="24"/>
                <w:lang w:eastAsia="zh-CN"/>
              </w:rPr>
              <w:t>0</w:t>
            </w:r>
            <w:r>
              <w:rPr>
                <w:rFonts w:eastAsia="仿宋"/>
                <w:sz w:val="24"/>
                <w:szCs w:val="24"/>
              </w:rPr>
              <w:t>91</w:t>
            </w:r>
          </w:p>
        </w:tc>
        <w:tc>
          <w:tcPr>
            <w:tcW w:w="13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待求点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H</w:t>
            </w:r>
            <w:r>
              <w:rPr>
                <w:rFonts w:eastAsia="仿宋"/>
                <w:sz w:val="24"/>
                <w:szCs w:val="24"/>
                <w:vertAlign w:val="subscript"/>
              </w:rPr>
              <w:t>B</w:t>
            </w:r>
            <w:r>
              <w:rPr>
                <w:rFonts w:eastAsia="仿宋"/>
                <w:sz w:val="24"/>
                <w:szCs w:val="24"/>
              </w:rPr>
              <w:t>=500.090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5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B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eastAsia="zh-CN"/>
              </w:rPr>
              <w:t>1</w:t>
            </w:r>
            <w:r>
              <w:rPr>
                <w:rFonts w:eastAsia="仿宋"/>
                <w:sz w:val="24"/>
                <w:szCs w:val="24"/>
              </w:rPr>
              <w:t>.</w:t>
            </w:r>
            <w:r>
              <w:rPr>
                <w:rFonts w:eastAsia="仿宋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80" w:firstLineChars="200"/>
        <w:jc w:val="center"/>
        <w:textAlignment w:val="auto"/>
        <w:rPr>
          <w:rFonts w:eastAsia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eastAsia="仿宋"/>
          <w:sz w:val="24"/>
          <w:szCs w:val="24"/>
          <w:lang w:eastAsia="zh-CN"/>
        </w:rPr>
      </w:pPr>
      <w:r>
        <w:rPr>
          <w:rFonts w:eastAsia="仿宋"/>
          <w:sz w:val="24"/>
          <w:szCs w:val="24"/>
          <w:lang w:eastAsia="zh-CN"/>
        </w:rPr>
        <w:t>注：以下工作在学生考试结束后，由</w:t>
      </w:r>
      <w:r>
        <w:rPr>
          <w:rFonts w:hint="eastAsia" w:eastAsia="仿宋"/>
          <w:sz w:val="24"/>
          <w:szCs w:val="24"/>
          <w:lang w:eastAsia="zh-CN"/>
        </w:rPr>
        <w:t>考评员</w:t>
      </w:r>
      <w:r>
        <w:rPr>
          <w:rFonts w:eastAsia="仿宋"/>
          <w:sz w:val="24"/>
          <w:szCs w:val="24"/>
          <w:lang w:eastAsia="zh-CN"/>
        </w:rPr>
        <w:t>计算完成。考生填写无效并将作扣分处理。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80" w:firstLineChars="200"/>
        <w:jc w:val="center"/>
        <w:textAlignment w:val="auto"/>
        <w:rPr>
          <w:rFonts w:ascii="宋体"/>
          <w:b/>
          <w:color w:val="000000"/>
          <w:sz w:val="30"/>
          <w:szCs w:val="30"/>
        </w:rPr>
      </w:pPr>
      <w:r>
        <w:rPr>
          <w:rFonts w:eastAsia="仿宋"/>
          <w:sz w:val="24"/>
          <w:szCs w:val="24"/>
        </w:rPr>
        <w:t>Δ</w:t>
      </w:r>
      <w:r>
        <w:rPr>
          <w:rFonts w:eastAsia="仿宋"/>
          <w:sz w:val="24"/>
          <w:szCs w:val="24"/>
          <w:lang w:eastAsia="zh-CN"/>
        </w:rPr>
        <w:t>=</w:t>
      </w:r>
      <w:r>
        <w:rPr>
          <w:rFonts w:eastAsia="仿宋"/>
          <w:sz w:val="24"/>
          <w:szCs w:val="24"/>
          <w:u w:val="single"/>
          <w:lang w:eastAsia="zh-CN"/>
        </w:rPr>
        <w:t xml:space="preserve">  -114  </w:t>
      </w:r>
      <w:r>
        <w:rPr>
          <w:rFonts w:eastAsia="仿宋"/>
          <w:sz w:val="24"/>
          <w:szCs w:val="24"/>
          <w:lang w:eastAsia="zh-CN"/>
        </w:rPr>
        <w:t>mm；</w:t>
      </w:r>
      <w:r>
        <w:rPr>
          <w:rFonts w:eastAsia="仿宋"/>
          <w:sz w:val="24"/>
          <w:szCs w:val="24"/>
        </w:rPr>
        <w:t>Δ</w:t>
      </w:r>
      <w:r>
        <w:rPr>
          <w:rFonts w:eastAsia="仿宋"/>
          <w:sz w:val="24"/>
          <w:szCs w:val="24"/>
          <w:lang w:eastAsia="zh-CN"/>
        </w:rPr>
        <w:t>=第2次前视读数-第1次前视读数。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/>
      </w:rPr>
    </w:pPr>
    <w:r>
      <w:rPr>
        <w:rFonts w:hint="eastAsia" w:ascii="宋体" w:hAnsi="宋体" w:eastAsia="宋体"/>
        <w:b/>
        <w:kern w:val="0"/>
      </w:rPr>
      <w:t xml:space="preserve">第 </w:t>
    </w:r>
    <w:r>
      <w:rPr>
        <w:rFonts w:ascii="宋体" w:hAnsi="宋体" w:eastAsia="宋体"/>
        <w:b/>
        <w:kern w:val="0"/>
      </w:rPr>
      <w:fldChar w:fldCharType="begin"/>
    </w:r>
    <w:r>
      <w:rPr>
        <w:rFonts w:ascii="宋体" w:hAnsi="宋体" w:eastAsia="宋体"/>
        <w:b/>
        <w:kern w:val="0"/>
      </w:rPr>
      <w:instrText xml:space="preserve"> PAGE </w:instrText>
    </w:r>
    <w:r>
      <w:rPr>
        <w:rFonts w:ascii="宋体" w:hAnsi="宋体" w:eastAsia="宋体"/>
        <w:b/>
      </w:rPr>
      <w:fldChar w:fldCharType="separate"/>
    </w:r>
    <w:r>
      <w:rPr>
        <w:rFonts w:ascii="宋体" w:hAnsi="宋体" w:eastAsia="宋体"/>
        <w:b/>
        <w:kern w:val="0"/>
      </w:rPr>
      <w:t>8</w:t>
    </w:r>
    <w:r>
      <w:rPr>
        <w:rFonts w:ascii="宋体" w:hAnsi="宋体" w:eastAsia="宋体"/>
        <w:b/>
        <w:kern w:val="0"/>
      </w:rPr>
      <w:fldChar w:fldCharType="end"/>
    </w:r>
    <w:r>
      <w:rPr>
        <w:rFonts w:hint="eastAsia" w:ascii="宋体" w:hAnsi="宋体" w:eastAsia="宋体"/>
        <w:b/>
        <w:kern w:val="0"/>
      </w:rPr>
      <w:t xml:space="preserve"> 页 共 </w:t>
    </w:r>
    <w:r>
      <w:rPr>
        <w:rFonts w:ascii="宋体" w:hAnsi="宋体" w:eastAsia="宋体"/>
        <w:b/>
        <w:kern w:val="0"/>
      </w:rPr>
      <w:fldChar w:fldCharType="begin"/>
    </w:r>
    <w:r>
      <w:rPr>
        <w:rFonts w:ascii="宋体" w:hAnsi="宋体" w:eastAsia="宋体"/>
        <w:b/>
        <w:kern w:val="0"/>
      </w:rPr>
      <w:instrText xml:space="preserve"> NUMPAGES </w:instrText>
    </w:r>
    <w:r>
      <w:rPr>
        <w:rFonts w:ascii="宋体" w:hAnsi="宋体" w:eastAsia="宋体"/>
        <w:b/>
      </w:rPr>
      <w:fldChar w:fldCharType="separate"/>
    </w:r>
    <w:r>
      <w:rPr>
        <w:rFonts w:ascii="宋体" w:hAnsi="宋体" w:eastAsia="宋体"/>
        <w:b/>
        <w:kern w:val="0"/>
      </w:rPr>
      <w:t>27</w:t>
    </w:r>
    <w:r>
      <w:rPr>
        <w:rFonts w:ascii="宋体" w:hAnsi="宋体" w:eastAsia="宋体"/>
        <w:b/>
        <w:kern w:val="0"/>
      </w:rPr>
      <w:fldChar w:fldCharType="end"/>
    </w:r>
    <w:r>
      <w:rPr>
        <w:rFonts w:hint="eastAsia" w:ascii="宋体" w:hAnsi="宋体" w:eastAsia="宋体"/>
        <w:b/>
        <w:kern w:val="0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87FA8"/>
    <w:rsid w:val="00167F85"/>
    <w:rsid w:val="067206A4"/>
    <w:rsid w:val="08E07C4E"/>
    <w:rsid w:val="0A017575"/>
    <w:rsid w:val="122115CD"/>
    <w:rsid w:val="130517AD"/>
    <w:rsid w:val="13687FA8"/>
    <w:rsid w:val="144E756D"/>
    <w:rsid w:val="170760ED"/>
    <w:rsid w:val="1B1838F0"/>
    <w:rsid w:val="229E7B22"/>
    <w:rsid w:val="24471D21"/>
    <w:rsid w:val="24DB252F"/>
    <w:rsid w:val="29C8157D"/>
    <w:rsid w:val="2AB22533"/>
    <w:rsid w:val="2DFA7E30"/>
    <w:rsid w:val="2E1425F8"/>
    <w:rsid w:val="2F7729BE"/>
    <w:rsid w:val="35F65FB0"/>
    <w:rsid w:val="4310141C"/>
    <w:rsid w:val="43DB7EFA"/>
    <w:rsid w:val="4E8C697A"/>
    <w:rsid w:val="4F29331A"/>
    <w:rsid w:val="4F2A5057"/>
    <w:rsid w:val="517A0A4C"/>
    <w:rsid w:val="637B71C9"/>
    <w:rsid w:val="67657D1A"/>
    <w:rsid w:val="69132102"/>
    <w:rsid w:val="6B93299C"/>
    <w:rsid w:val="6C0322FF"/>
    <w:rsid w:val="6C955C70"/>
    <w:rsid w:val="6D3722E1"/>
    <w:rsid w:val="6F2E7A98"/>
    <w:rsid w:val="70744058"/>
    <w:rsid w:val="7A074681"/>
    <w:rsid w:val="7F7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2021-01-11T09:23:00Z</dcterms:created>
  <dc:creator>Administrator</dc:creator>
  <cp:lastModifiedBy>开心一万年！</cp:lastModifiedBy>
  <dcterms:modified xsi:type="dcterms:W3CDTF">2021-01-12T05:42:25Z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